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79FA2204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BE4C7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12</w:t>
      </w:r>
    </w:p>
    <w:p w14:paraId="3006BAB4" w14:textId="5EE5E1ED" w:rsidR="006C50AE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aps/>
          <w:sz w:val="32"/>
          <w:szCs w:val="32"/>
        </w:rPr>
      </w:pPr>
      <w:r w:rsidRPr="00BE4C77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Sledování kvality péče na urgentních příjmech</w:t>
      </w:r>
      <w:r w:rsidDel="00BE4C77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4AE0C121" w14:textId="24962B45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345C440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52AADC18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57BE609C" w14:textId="77777777" w:rsidR="006C50AE" w:rsidRDefault="006C50AE" w:rsidP="00643187">
      <w:pPr>
        <w:rPr>
          <w:rFonts w:ascii="Arial" w:hAnsi="Arial" w:cs="Arial"/>
          <w:caps/>
          <w:sz w:val="32"/>
          <w:szCs w:val="32"/>
        </w:rPr>
      </w:pPr>
    </w:p>
    <w:p w14:paraId="29F7EAC3" w14:textId="341934B7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BE4C77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03B86146" w14:textId="77777777" w:rsidR="00BE4C77" w:rsidRDefault="00D237C4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BE4C77" w:rsidRPr="00BE4C77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lastRenderedPageBreak/>
        <w:t>Sledování kvality péče na urgentních příjmech</w:t>
      </w:r>
    </w:p>
    <w:p w14:paraId="6AE1635A" w14:textId="77777777" w:rsid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</w:p>
    <w:p w14:paraId="472FC70D" w14:textId="5A14E6A1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</w:pPr>
      <w:r w:rsidRPr="00BE4C77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set sledovaných parametrů</w:t>
      </w:r>
      <w:r w:rsidRPr="00BE4C77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:</w:t>
      </w:r>
      <w:r w:rsidRPr="00BE4C77" w:rsidDel="00BE4C77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 </w:t>
      </w:r>
    </w:p>
    <w:p w14:paraId="55120B27" w14:textId="2DB6E41A" w:rsidR="00BE4C77" w:rsidRPr="00BE4C77" w:rsidRDefault="00BE4C77" w:rsidP="00BE4C77">
      <w:pPr>
        <w:pStyle w:val="Odstavecseseznamem"/>
        <w:numPr>
          <w:ilvl w:val="0"/>
          <w:numId w:val="40"/>
        </w:num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doba čekání na vyšetření (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waiting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room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time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)</w:t>
      </w:r>
    </w:p>
    <w:p w14:paraId="45B784B0" w14:textId="3723020A" w:rsidR="00BE4C77" w:rsidRPr="00BE4C77" w:rsidRDefault="00BE4C77" w:rsidP="00BE4C77">
      <w:pPr>
        <w:pStyle w:val="Odstavecseseznamem"/>
        <w:numPr>
          <w:ilvl w:val="0"/>
          <w:numId w:val="40"/>
        </w:num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celkový čas strávený na urgentním příjmu (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lenght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of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stay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) </w:t>
      </w:r>
    </w:p>
    <w:p w14:paraId="2C6A338C" w14:textId="77777777" w:rsidR="00BE4C77" w:rsidRPr="00BE4C77" w:rsidRDefault="00BE4C77" w:rsidP="00BE4C77">
      <w:pPr>
        <w:pStyle w:val="Odstavecseseznamem"/>
        <w:numPr>
          <w:ilvl w:val="0"/>
          <w:numId w:val="40"/>
        </w:num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množství neplánovaných opakovaných návštěv (re-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attendance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rate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) </w:t>
      </w:r>
    </w:p>
    <w:p w14:paraId="01485303" w14:textId="77777777" w:rsidR="00BE4C77" w:rsidRPr="00BE4C77" w:rsidRDefault="00BE4C77" w:rsidP="00BE4C77">
      <w:pPr>
        <w:pStyle w:val="Odstavecseseznamem"/>
        <w:numPr>
          <w:ilvl w:val="0"/>
          <w:numId w:val="40"/>
        </w:num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počet neošetřených pacientů (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left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without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beeing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seen</w:t>
      </w:r>
      <w:proofErr w:type="spellEnd"/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) </w:t>
      </w:r>
    </w:p>
    <w:p w14:paraId="7B606C96" w14:textId="77777777" w:rsidR="00BE4C77" w:rsidRDefault="00BE4C77" w:rsidP="00BE4C77">
      <w:pPr>
        <w:shd w:val="clear" w:color="auto" w:fill="FFFFFF"/>
        <w:spacing w:line="360" w:lineRule="atLeast"/>
        <w:ind w:left="2124" w:hanging="1224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060B458" w14:textId="77777777" w:rsidR="00BE4C77" w:rsidRDefault="00BE4C77" w:rsidP="00BE4C77">
      <w:pPr>
        <w:shd w:val="clear" w:color="auto" w:fill="FFFFFF"/>
        <w:spacing w:line="360" w:lineRule="atLeast"/>
        <w:ind w:left="2124" w:hanging="1224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A542B3" w14:textId="57472B9B" w:rsidR="00BE4C77" w:rsidRPr="00BE4C77" w:rsidRDefault="00BE4C77" w:rsidP="00BE4C77">
      <w:pPr>
        <w:shd w:val="clear" w:color="auto" w:fill="FFFFFF"/>
        <w:spacing w:line="360" w:lineRule="atLeast"/>
        <w:ind w:left="2124" w:hanging="1224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Doba čekání na vyšetření </w:t>
      </w:r>
    </w:p>
    <w:p w14:paraId="34FCB81A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Odůvodnění: redukce rizik souvisejících s čekáním pacienta na ošetření bez přímého dozoru zdravotnického personálu, naplnění vytyčených cílových čekacích dob pro jednotlivé ošetřovatelské priority </w:t>
      </w:r>
    </w:p>
    <w:p w14:paraId="5E2F920A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Frekvence: měsíčně, ročně </w:t>
      </w:r>
    </w:p>
    <w:p w14:paraId="6202663E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Definice: doba v minutách definovaná jako rozdíl času prvního kontaktu s recepcí a času vstupu na vyšetřovnu urgentního příjmu </w:t>
      </w:r>
    </w:p>
    <w:p w14:paraId="111945D9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Sledovaný parametr: medián a 95. percentil výše definované doby zvlášť pro jednotlivé ošetřovatelské priority </w:t>
      </w:r>
    </w:p>
    <w:p w14:paraId="119949D6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Poznámky: v analýze budou zahrnuti pouze ošetření, neobjednaní, tj. akutní pacienti </w:t>
      </w:r>
    </w:p>
    <w:p w14:paraId="40B24C77" w14:textId="77777777" w:rsidR="00BE4C77" w:rsidRPr="00BE4C77" w:rsidRDefault="00BE4C77" w:rsidP="00BE4C77">
      <w:pPr>
        <w:shd w:val="clear" w:color="auto" w:fill="FFFFFF"/>
        <w:spacing w:before="180"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132C5424" w14:textId="77777777" w:rsidR="00BE4C77" w:rsidRPr="00BE4C77" w:rsidRDefault="00BE4C77" w:rsidP="00BE4C77">
      <w:pPr>
        <w:shd w:val="clear" w:color="auto" w:fill="FFFFFF"/>
        <w:spacing w:line="360" w:lineRule="atLeast"/>
        <w:ind w:left="2124" w:hanging="1224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  Celkový čas strávený na urgentním příjmu </w:t>
      </w:r>
    </w:p>
    <w:p w14:paraId="26A49390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Odůvodnění: redukce zbytného čekání během ošetření na urgentním příjmu  </w:t>
      </w:r>
    </w:p>
    <w:p w14:paraId="12BDD4C8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Frekvence: měsíčně, ročně </w:t>
      </w:r>
    </w:p>
    <w:p w14:paraId="1798AB7D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Definice: doba v minutách definovaná jako rozdíl času prvního kontaktu s recepcí – čas ukončení ošetření na urgentním příjmu (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lenght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of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stay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, LOS) </w:t>
      </w:r>
    </w:p>
    <w:p w14:paraId="56F7A20A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Sledovaný parametr: medián a 95. percentil výše definované doby zvlášť pro 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dimitované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 pacienty a pro pacienty předané k další péči v rámci nemocnice, dále ev. v 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subanalýze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 podle cílového oddělení </w:t>
      </w:r>
    </w:p>
    <w:p w14:paraId="75104C58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Poznámky: v analýze budou zahrnuti pouze ošetření, neobjednaní, tj. akutní pacienti </w:t>
      </w:r>
    </w:p>
    <w:p w14:paraId="0D4DCFB2" w14:textId="4A7B5930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Možné interferující vlivy: efektivita práce, transporty k vyšetření (pacient, biologický materiál), odezva komplementu, dostupnost konziliářů, připravenost lůžkových oddělení na příjem pacienta včetně lůžkových kapacit </w:t>
      </w:r>
    </w:p>
    <w:p w14:paraId="7D259FB9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276D8806" w14:textId="77777777" w:rsidR="00BE4C77" w:rsidRPr="00BE4C77" w:rsidRDefault="00BE4C77" w:rsidP="00BE4C77">
      <w:pPr>
        <w:shd w:val="clear" w:color="auto" w:fill="FFFFFF"/>
        <w:spacing w:line="360" w:lineRule="atLeast"/>
        <w:ind w:left="2124" w:hanging="1224"/>
        <w:jc w:val="both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Množství neplánovaných opakovaných návštěv  </w:t>
      </w:r>
    </w:p>
    <w:p w14:paraId="300825EC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Odůvodnění: redukce 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preventabilních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 opakovaných návštěv urgentního příjmu  </w:t>
      </w:r>
    </w:p>
    <w:p w14:paraId="43A39D1C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Frekvence: měsíčně </w:t>
      </w:r>
    </w:p>
    <w:p w14:paraId="76CF14DC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Definice: neplánovaná opakovaná návštěva = další vyšetření na urgentním příjmu v rozmezí do 72 hodin od původní návštěvy</w:t>
      </w:r>
    </w:p>
    <w:p w14:paraId="01602606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Sledovaný parametr: procentuální podíl počtu neplánovaných opakovaných návštěv k počtu ošetření za dané časové období </w:t>
      </w:r>
    </w:p>
    <w:p w14:paraId="609F6F72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Poznámky: vyloučeny budou neakutní návštěvy </w:t>
      </w:r>
    </w:p>
    <w:p w14:paraId="5F835C41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Možné interferující vlivy: funkčnost primární péče (praktičtí lékaři, ambulantní specialisté), kvalita komunikace a poučení při </w:t>
      </w:r>
      <w:proofErr w:type="spellStart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>dimisi</w:t>
      </w:r>
      <w:proofErr w:type="spellEnd"/>
      <w:r w:rsidRPr="00BE4C77">
        <w:rPr>
          <w:rFonts w:ascii="Arial" w:eastAsiaTheme="minorEastAsia" w:hAnsi="Arial" w:cs="Arial"/>
          <w:sz w:val="22"/>
          <w:szCs w:val="20"/>
          <w:lang w:eastAsia="zh-CN"/>
        </w:rPr>
        <w:t xml:space="preserve"> z prvotního ošetření na urgentním příjmu </w:t>
      </w:r>
    </w:p>
    <w:p w14:paraId="4D7707DF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A75E32E" w14:textId="77777777" w:rsidR="00BE4C77" w:rsidRPr="00BE4C77" w:rsidRDefault="00BE4C77" w:rsidP="00BE4C77">
      <w:pPr>
        <w:shd w:val="clear" w:color="auto" w:fill="FFFFFF"/>
        <w:spacing w:beforeAutospacing="1" w:afterAutospacing="1"/>
        <w:ind w:firstLine="708"/>
        <w:textAlignment w:val="baseline"/>
        <w:rPr>
          <w:rFonts w:ascii="Arial" w:eastAsiaTheme="minorEastAsia" w:hAnsi="Arial" w:cs="Arial"/>
          <w:b/>
          <w:bCs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b/>
          <w:bCs/>
          <w:sz w:val="22"/>
          <w:szCs w:val="20"/>
          <w:lang w:eastAsia="zh-CN"/>
        </w:rPr>
        <w:t>Počet neošetřených pacientů  </w:t>
      </w:r>
    </w:p>
    <w:p w14:paraId="47994E80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Odůvodnění: redukce rizik vyplývajících z neuskutečněného ošetření  </w:t>
      </w:r>
    </w:p>
    <w:p w14:paraId="5F6568D4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Frekvence: měsíčně, ročně </w:t>
      </w:r>
    </w:p>
    <w:p w14:paraId="50736F2C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Definice: neošetřený pacient = pacient, který byl zaregistrován v recepci, ale nevyčkal ošetření a opustil urgentní příjem před vstupem na vyšetřovnu urgentního příjmu </w:t>
      </w:r>
    </w:p>
    <w:p w14:paraId="777CC2DF" w14:textId="77777777" w:rsidR="00BE4C77" w:rsidRPr="00BE4C77" w:rsidRDefault="00BE4C77" w:rsidP="00BE4C77">
      <w:pPr>
        <w:shd w:val="clear" w:color="auto" w:fill="FFFFFF"/>
        <w:spacing w:line="360" w:lineRule="atLeast"/>
        <w:jc w:val="both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t>Sledovaný parametr: procentuální podíl počtu neošetřených k počtu všech ošetření za dané časové období </w:t>
      </w:r>
    </w:p>
    <w:p w14:paraId="084CE7B1" w14:textId="77777777" w:rsidR="00BE4C77" w:rsidRPr="00BE4C77" w:rsidRDefault="00BE4C77" w:rsidP="00BE4C77">
      <w:pPr>
        <w:spacing w:after="120"/>
        <w:textAlignment w:val="baseline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09611C63" w14:textId="77777777" w:rsidR="00BE4C77" w:rsidRPr="00BE4C77" w:rsidRDefault="00BE4C77" w:rsidP="00BE4C77">
      <w:pPr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D8AC672" w14:textId="77777777" w:rsidR="00BE4C77" w:rsidRPr="00BE4C77" w:rsidRDefault="00BE4C77" w:rsidP="00BE4C77">
      <w:pPr>
        <w:rPr>
          <w:rFonts w:ascii="Arial" w:eastAsiaTheme="minorEastAsia" w:hAnsi="Arial" w:cs="Arial"/>
          <w:sz w:val="22"/>
          <w:szCs w:val="20"/>
          <w:lang w:eastAsia="zh-CN"/>
        </w:rPr>
      </w:pPr>
      <w:r w:rsidRPr="00BE4C77">
        <w:rPr>
          <w:rFonts w:ascii="Arial" w:eastAsiaTheme="minorEastAsia" w:hAnsi="Arial" w:cs="Arial"/>
          <w:sz w:val="22"/>
          <w:szCs w:val="20"/>
          <w:lang w:eastAsia="zh-CN"/>
        </w:rPr>
        <w:br/>
      </w:r>
    </w:p>
    <w:p w14:paraId="604A468A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1F8DA7E6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739F0E54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4943BBF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123DFA82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5671F05D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7D9FE6AB" w14:textId="77777777" w:rsidR="00BE4C77" w:rsidRPr="00BE4C77" w:rsidRDefault="00BE4C77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EastAsia" w:hAnsi="Arial" w:cs="Arial"/>
          <w:sz w:val="22"/>
          <w:szCs w:val="20"/>
          <w:lang w:eastAsia="zh-CN"/>
        </w:rPr>
      </w:pPr>
    </w:p>
    <w:bookmarkEnd w:id="0"/>
    <w:p w14:paraId="61809C4A" w14:textId="65E13E9B" w:rsidR="00231569" w:rsidRPr="00BE4C77" w:rsidRDefault="00231569" w:rsidP="00BE4C7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eastAsiaTheme="minorEastAsia"/>
          <w:i/>
          <w:iCs/>
          <w:sz w:val="22"/>
          <w:szCs w:val="20"/>
          <w:lang w:eastAsia="zh-CN"/>
        </w:rPr>
      </w:pPr>
    </w:p>
    <w:sectPr w:rsidR="00231569" w:rsidRPr="00BE4C77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F582F"/>
    <w:multiLevelType w:val="hybridMultilevel"/>
    <w:tmpl w:val="94ACFAA6"/>
    <w:lvl w:ilvl="0" w:tplc="E5C2F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234C3"/>
    <w:multiLevelType w:val="hybridMultilevel"/>
    <w:tmpl w:val="D54082DC"/>
    <w:lvl w:ilvl="0" w:tplc="E5C2F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906A1"/>
    <w:multiLevelType w:val="multilevel"/>
    <w:tmpl w:val="DA46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3"/>
  </w:num>
  <w:num w:numId="5" w16cid:durableId="1029986559">
    <w:abstractNumId w:val="6"/>
  </w:num>
  <w:num w:numId="6" w16cid:durableId="98567189">
    <w:abstractNumId w:val="28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20"/>
  </w:num>
  <w:num w:numId="10" w16cid:durableId="1620643380">
    <w:abstractNumId w:val="4"/>
  </w:num>
  <w:num w:numId="11" w16cid:durableId="1771315428">
    <w:abstractNumId w:val="36"/>
  </w:num>
  <w:num w:numId="12" w16cid:durableId="1262496791">
    <w:abstractNumId w:val="25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9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7"/>
  </w:num>
  <w:num w:numId="19" w16cid:durableId="1649048281">
    <w:abstractNumId w:val="7"/>
  </w:num>
  <w:num w:numId="20" w16cid:durableId="8798457">
    <w:abstractNumId w:val="32"/>
  </w:num>
  <w:num w:numId="21" w16cid:durableId="463619397">
    <w:abstractNumId w:val="31"/>
  </w:num>
  <w:num w:numId="22" w16cid:durableId="134881191">
    <w:abstractNumId w:val="5"/>
  </w:num>
  <w:num w:numId="23" w16cid:durableId="1756825163">
    <w:abstractNumId w:val="24"/>
  </w:num>
  <w:num w:numId="24" w16cid:durableId="1558013766">
    <w:abstractNumId w:val="27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6"/>
  </w:num>
  <w:num w:numId="28" w16cid:durableId="1322154105">
    <w:abstractNumId w:val="30"/>
  </w:num>
  <w:num w:numId="29" w16cid:durableId="2014070192">
    <w:abstractNumId w:val="10"/>
  </w:num>
  <w:num w:numId="30" w16cid:durableId="1758210624">
    <w:abstractNumId w:val="19"/>
  </w:num>
  <w:num w:numId="31" w16cid:durableId="863589401">
    <w:abstractNumId w:val="22"/>
  </w:num>
  <w:num w:numId="32" w16cid:durableId="584458311">
    <w:abstractNumId w:val="1"/>
  </w:num>
  <w:num w:numId="33" w16cid:durableId="92172391">
    <w:abstractNumId w:val="38"/>
  </w:num>
  <w:num w:numId="34" w16cid:durableId="33968869">
    <w:abstractNumId w:val="23"/>
  </w:num>
  <w:num w:numId="35" w16cid:durableId="213931801">
    <w:abstractNumId w:val="3"/>
  </w:num>
  <w:num w:numId="36" w16cid:durableId="1037394458">
    <w:abstractNumId w:val="18"/>
  </w:num>
  <w:num w:numId="37" w16cid:durableId="1543636029">
    <w:abstractNumId w:val="21"/>
  </w:num>
  <w:num w:numId="38" w16cid:durableId="1080981738">
    <w:abstractNumId w:val="35"/>
  </w:num>
  <w:num w:numId="39" w16cid:durableId="1200627049">
    <w:abstractNumId w:val="34"/>
  </w:num>
  <w:num w:numId="40" w16cid:durableId="20043571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626A2"/>
    <w:rsid w:val="0007022E"/>
    <w:rsid w:val="00070FE9"/>
    <w:rsid w:val="00082647"/>
    <w:rsid w:val="00093BFD"/>
    <w:rsid w:val="00095BC9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03EE"/>
    <w:rsid w:val="0024211E"/>
    <w:rsid w:val="00245E41"/>
    <w:rsid w:val="0025243F"/>
    <w:rsid w:val="00255525"/>
    <w:rsid w:val="002679E0"/>
    <w:rsid w:val="002748BB"/>
    <w:rsid w:val="00274C37"/>
    <w:rsid w:val="0028633C"/>
    <w:rsid w:val="00286BE3"/>
    <w:rsid w:val="00286C01"/>
    <w:rsid w:val="00291A5A"/>
    <w:rsid w:val="002978F6"/>
    <w:rsid w:val="00297F42"/>
    <w:rsid w:val="002B2B54"/>
    <w:rsid w:val="002B3C33"/>
    <w:rsid w:val="002B4142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2F3A5F"/>
    <w:rsid w:val="00304473"/>
    <w:rsid w:val="003068DD"/>
    <w:rsid w:val="003136E1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7EF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C50AE"/>
    <w:rsid w:val="006D69C4"/>
    <w:rsid w:val="006E5C82"/>
    <w:rsid w:val="006E72F1"/>
    <w:rsid w:val="006F6BC2"/>
    <w:rsid w:val="00702E52"/>
    <w:rsid w:val="00705451"/>
    <w:rsid w:val="00707243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44A5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89C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9F76F7"/>
    <w:rsid w:val="00A0280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3FF4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28FC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223FD"/>
    <w:rsid w:val="00B32019"/>
    <w:rsid w:val="00B32AB8"/>
    <w:rsid w:val="00B362EB"/>
    <w:rsid w:val="00B37C37"/>
    <w:rsid w:val="00B42FA1"/>
    <w:rsid w:val="00B50E78"/>
    <w:rsid w:val="00B5576B"/>
    <w:rsid w:val="00B55EB2"/>
    <w:rsid w:val="00B61B03"/>
    <w:rsid w:val="00B7197B"/>
    <w:rsid w:val="00B8276E"/>
    <w:rsid w:val="00B953E3"/>
    <w:rsid w:val="00BA47FE"/>
    <w:rsid w:val="00BA69D8"/>
    <w:rsid w:val="00BB4843"/>
    <w:rsid w:val="00BC268B"/>
    <w:rsid w:val="00BC3C7A"/>
    <w:rsid w:val="00BC51C7"/>
    <w:rsid w:val="00BD3346"/>
    <w:rsid w:val="00BE4C77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A60"/>
    <w:rsid w:val="00C23F14"/>
    <w:rsid w:val="00C24C75"/>
    <w:rsid w:val="00C302E0"/>
    <w:rsid w:val="00C3292A"/>
    <w:rsid w:val="00C410A2"/>
    <w:rsid w:val="00C42327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2EFD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17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9705D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39</cp:revision>
  <dcterms:created xsi:type="dcterms:W3CDTF">2022-08-16T10:17:00Z</dcterms:created>
  <dcterms:modified xsi:type="dcterms:W3CDTF">2025-02-12T13:48:00Z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